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39CF" w14:textId="4DAE07A4" w:rsidR="00C8724F" w:rsidRDefault="00E542A0" w:rsidP="00F40A6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theme="majorHAnsi"/>
          <w:b/>
          <w:bCs/>
          <w:color w:val="385623" w:themeColor="accent6" w:themeShade="80"/>
        </w:rPr>
      </w:pPr>
      <w:r w:rsidRPr="00F40A68">
        <w:rPr>
          <w:rFonts w:ascii="Calibri" w:hAnsi="Calibri" w:cstheme="majorHAnsi"/>
          <w:b/>
          <w:bCs/>
          <w:color w:val="385623" w:themeColor="accent6" w:themeShade="80"/>
        </w:rPr>
        <w:t xml:space="preserve">How </w:t>
      </w:r>
      <w:r w:rsidR="0038768E">
        <w:rPr>
          <w:rFonts w:ascii="Calibri" w:hAnsi="Calibri" w:cstheme="majorHAnsi"/>
          <w:b/>
          <w:bCs/>
          <w:color w:val="385623" w:themeColor="accent6" w:themeShade="80"/>
        </w:rPr>
        <w:t>Arizona Registrars</w:t>
      </w:r>
    </w:p>
    <w:p w14:paraId="6B1023EE" w14:textId="6C61DF7E" w:rsidR="00E542A0" w:rsidRPr="00F40A68" w:rsidRDefault="00E542A0" w:rsidP="00C8724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theme="majorHAnsi"/>
          <w:b/>
          <w:bCs/>
          <w:color w:val="385623" w:themeColor="accent6" w:themeShade="80"/>
        </w:rPr>
      </w:pPr>
      <w:r w:rsidRPr="00F40A68">
        <w:rPr>
          <w:rFonts w:ascii="Calibri" w:hAnsi="Calibri" w:cstheme="majorHAnsi"/>
          <w:b/>
          <w:bCs/>
          <w:color w:val="385623" w:themeColor="accent6" w:themeShade="80"/>
        </w:rPr>
        <w:t xml:space="preserve">Can Assist </w:t>
      </w:r>
      <w:r w:rsidR="0038768E">
        <w:rPr>
          <w:rFonts w:ascii="Calibri" w:hAnsi="Calibri" w:cstheme="majorHAnsi"/>
          <w:b/>
          <w:bCs/>
          <w:color w:val="385623" w:themeColor="accent6" w:themeShade="80"/>
        </w:rPr>
        <w:t>Arizona</w:t>
      </w:r>
      <w:r w:rsidRPr="00F40A68">
        <w:rPr>
          <w:rFonts w:ascii="Calibri" w:hAnsi="Calibri" w:cstheme="majorHAnsi"/>
          <w:b/>
          <w:bCs/>
          <w:color w:val="385623" w:themeColor="accent6" w:themeShade="80"/>
        </w:rPr>
        <w:t xml:space="preserve"> Families</w:t>
      </w:r>
      <w:r w:rsidR="00C8724F">
        <w:rPr>
          <w:rFonts w:ascii="Calibri" w:hAnsi="Calibri" w:cstheme="majorHAnsi"/>
          <w:b/>
          <w:bCs/>
          <w:color w:val="385623" w:themeColor="accent6" w:themeShade="80"/>
        </w:rPr>
        <w:t xml:space="preserve"> to</w:t>
      </w:r>
      <w:r w:rsidRPr="00F40A68">
        <w:rPr>
          <w:rFonts w:ascii="Calibri" w:hAnsi="Calibri" w:cstheme="majorHAnsi"/>
          <w:b/>
          <w:bCs/>
          <w:color w:val="385623" w:themeColor="accent6" w:themeShade="80"/>
        </w:rPr>
        <w:t xml:space="preserve"> Care for Their Own Dead</w:t>
      </w:r>
    </w:p>
    <w:p w14:paraId="40C80CE2" w14:textId="77777777" w:rsidR="00E542A0" w:rsidRPr="00F40A68" w:rsidRDefault="00E542A0" w:rsidP="00F40A6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B173707" w14:textId="3A4CD342" w:rsidR="00A365CE" w:rsidRPr="00F40A68" w:rsidRDefault="0038768E" w:rsidP="00F40A6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A365CE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>families have the legal right to custod</w:t>
      </w:r>
      <w:r w:rsidR="00AD1415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y and control of their own dead. They may also choose to file the 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>death certificate</w:t>
      </w:r>
      <w:r w:rsidR="00AD1415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without the assistance of a funeral director.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Registrars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="00837B24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may be unfamiliar with paper filings and families handling </w:t>
      </w:r>
      <w:r w:rsidR="00DB0841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this paperwork </w:t>
      </w:r>
      <w:r w:rsidR="00837B24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on their own. Knowing how to serve these families, who are exercising their rights under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="00837B24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law, is a vital public service.</w:t>
      </w:r>
      <w:r w:rsidR="00A365CE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p w14:paraId="64A6D76A" w14:textId="77777777" w:rsidR="00A365CE" w:rsidRPr="00F40A68" w:rsidRDefault="00A365CE" w:rsidP="00F40A6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6FA2EF79" w14:textId="77777777" w:rsidR="00A365CE" w:rsidRPr="00F40A68" w:rsidRDefault="00A365CE" w:rsidP="00F40A68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theme="majorHAnsi"/>
          <w:b/>
          <w:bCs/>
          <w:color w:val="385623" w:themeColor="accent6" w:themeShade="80"/>
          <w:sz w:val="21"/>
          <w:szCs w:val="21"/>
        </w:rPr>
      </w:pPr>
      <w:r w:rsidRPr="00F40A68">
        <w:rPr>
          <w:rFonts w:ascii="Calibri" w:hAnsi="Calibri" w:cstheme="majorHAnsi"/>
          <w:b/>
          <w:bCs/>
          <w:color w:val="385623" w:themeColor="accent6" w:themeShade="80"/>
          <w:sz w:val="21"/>
          <w:szCs w:val="21"/>
        </w:rPr>
        <w:t>Legal Authority of Families</w:t>
      </w:r>
      <w:r w:rsidRPr="00F40A68">
        <w:rPr>
          <w:rFonts w:ascii="MS Gothic" w:eastAsia="MS Gothic" w:hAnsi="MS Gothic" w:cs="MS Gothic" w:hint="eastAsia"/>
          <w:b/>
          <w:bCs/>
          <w:color w:val="385623" w:themeColor="accent6" w:themeShade="80"/>
          <w:sz w:val="21"/>
          <w:szCs w:val="21"/>
        </w:rPr>
        <w:t> </w:t>
      </w:r>
    </w:p>
    <w:p w14:paraId="3E3F0FF8" w14:textId="77777777" w:rsidR="0038768E" w:rsidRPr="00F106D2" w:rsidRDefault="0038768E" w:rsidP="0038768E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MS Mincho" w:hAnsiTheme="majorHAnsi" w:cstheme="majorHAnsi"/>
          <w:sz w:val="21"/>
          <w:szCs w:val="21"/>
        </w:rPr>
      </w:pPr>
      <w:r w:rsidRPr="00A30413">
        <w:rPr>
          <w:rFonts w:asciiTheme="majorHAnsi" w:hAnsiTheme="majorHAnsi" w:cstheme="majorHAnsi"/>
          <w:sz w:val="21"/>
          <w:szCs w:val="21"/>
        </w:rPr>
        <w:t xml:space="preserve">In 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Pr="00A30413">
        <w:rPr>
          <w:rFonts w:asciiTheme="majorHAnsi" w:hAnsiTheme="majorHAnsi" w:cstheme="majorHAnsi"/>
          <w:sz w:val="21"/>
          <w:szCs w:val="21"/>
        </w:rPr>
        <w:t xml:space="preserve">, the legislative authority for families to act as unpaid funeral services practitioners 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>is foun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 in </w:t>
      </w:r>
      <w:r w:rsidRPr="00611729"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  <w:t>Arizona Statute § 36-326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where the law declares that a body disposition permit may be issued to “a funeral director or other responsible person.” The responsible person is described additionally as </w:t>
      </w:r>
      <w:r w:rsidRPr="0061172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Pr="00611729">
        <w:rPr>
          <w:rFonts w:asciiTheme="majorHAnsi" w:hAnsiTheme="majorHAnsi" w:cstheme="majorHAnsi"/>
          <w:sz w:val="21"/>
          <w:szCs w:val="21"/>
        </w:rPr>
        <w:t>“Authoring agent” in ARS 36-831</w:t>
      </w:r>
      <w:r>
        <w:rPr>
          <w:rFonts w:asciiTheme="majorHAnsi" w:hAnsiTheme="majorHAnsi" w:cstheme="majorHAnsi"/>
          <w:sz w:val="21"/>
          <w:szCs w:val="21"/>
        </w:rPr>
        <w:t>, starting with the spouse or designated agent.</w:t>
      </w:r>
    </w:p>
    <w:p w14:paraId="1926AD0C" w14:textId="77777777" w:rsidR="00837B24" w:rsidRPr="00F40A68" w:rsidRDefault="00837B24" w:rsidP="00F40A6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19F7CFF3" w14:textId="77777777" w:rsidR="00A365CE" w:rsidRPr="00F40A68" w:rsidRDefault="00A365CE" w:rsidP="00F40A68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theme="majorHAnsi"/>
          <w:b/>
          <w:bCs/>
          <w:color w:val="385623" w:themeColor="accent6" w:themeShade="80"/>
          <w:sz w:val="21"/>
          <w:szCs w:val="21"/>
        </w:rPr>
      </w:pPr>
      <w:r w:rsidRPr="00F40A68">
        <w:rPr>
          <w:rFonts w:ascii="Calibri" w:hAnsi="Calibri" w:cstheme="majorHAnsi"/>
          <w:b/>
          <w:bCs/>
          <w:color w:val="385623" w:themeColor="accent6" w:themeShade="80"/>
          <w:sz w:val="21"/>
          <w:szCs w:val="21"/>
        </w:rPr>
        <w:t>Ways You Are Empowered to Assist Families</w:t>
      </w:r>
      <w:r w:rsidRPr="00F40A68">
        <w:rPr>
          <w:rFonts w:ascii="MS Gothic" w:eastAsia="MS Gothic" w:hAnsi="MS Gothic" w:cs="MS Gothic" w:hint="eastAsia"/>
          <w:b/>
          <w:bCs/>
          <w:color w:val="385623" w:themeColor="accent6" w:themeShade="80"/>
          <w:sz w:val="21"/>
          <w:szCs w:val="21"/>
        </w:rPr>
        <w:t> </w:t>
      </w:r>
    </w:p>
    <w:p w14:paraId="52F15672" w14:textId="6C556D87" w:rsidR="00A365CE" w:rsidRPr="00F40A68" w:rsidRDefault="00C83989" w:rsidP="00F40A6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As a </w:t>
      </w:r>
      <w:r w:rsidR="0038768E">
        <w:rPr>
          <w:rFonts w:asciiTheme="majorHAnsi" w:hAnsiTheme="majorHAnsi" w:cstheme="majorHAnsi"/>
          <w:color w:val="000000" w:themeColor="text1"/>
          <w:sz w:val="21"/>
          <w:szCs w:val="21"/>
        </w:rPr>
        <w:t>registrar,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you may field inquiries or accept filings from families wishing to file the 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death certificate 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without reliance on a funeral director. These suggestions will help these families receive the same high level of service provided to those using </w:t>
      </w:r>
      <w:r w:rsidR="00AB0BC9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 professional to file 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>electronically</w:t>
      </w:r>
      <w:r w:rsidR="00A365CE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: </w:t>
      </w:r>
    </w:p>
    <w:p w14:paraId="3A6BF444" w14:textId="6B2D3BFA" w:rsidR="00AB0BC9" w:rsidRPr="00F40A68" w:rsidRDefault="00AB0BC9" w:rsidP="00F40A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Ensure that you and all of your colleagues are familiar with </w:t>
      </w:r>
      <w:r w:rsidR="0038768E"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law regarding a family’s right to 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care for their own dead, including the </w:t>
      </w:r>
      <w:r w:rsidR="004755B6"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filing of the death certificate and receipt of the </w:t>
      </w:r>
      <w:r w:rsidR="0038768E">
        <w:rPr>
          <w:rFonts w:asciiTheme="majorHAnsi" w:hAnsiTheme="majorHAnsi" w:cstheme="majorHAnsi"/>
          <w:color w:val="000000" w:themeColor="text1"/>
          <w:sz w:val="21"/>
          <w:szCs w:val="21"/>
        </w:rPr>
        <w:t>disposition transit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permit.</w:t>
      </w:r>
    </w:p>
    <w:p w14:paraId="547F9F94" w14:textId="662663E6" w:rsidR="00AB0BC9" w:rsidRPr="00F40A68" w:rsidRDefault="00AB0BC9" w:rsidP="00F40A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If additional clarification or training is needed to ensure paper filings will be accepted and processed in a timely fashion, </w:t>
      </w:r>
      <w:r w:rsidR="004755B6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please 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consult </w:t>
      </w:r>
      <w:r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="004755B6"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State of </w:t>
      </w:r>
      <w:r w:rsidR="0038768E"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="004755B6"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Vital Records Department</w:t>
      </w:r>
      <w:r w:rsidRPr="0038768E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14:paraId="3E2B7238" w14:textId="38C204A2" w:rsidR="00A365CE" w:rsidRPr="00F40A68" w:rsidRDefault="0031559B" w:rsidP="00F40A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Familiarizing yourself with </w:t>
      </w:r>
      <w:r w:rsidR="00AB0BC9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additional information resources below will 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>further equip you to</w:t>
      </w:r>
      <w:r w:rsidR="00AB0BC9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serve </w:t>
      </w:r>
      <w:r w:rsidR="00AB0BC9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families </w:t>
      </w:r>
      <w:r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>who choose</w:t>
      </w:r>
      <w:r w:rsidR="00AB0BC9" w:rsidRPr="00F40A68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to care for their dead.</w:t>
      </w:r>
      <w:r w:rsidR="00A365CE" w:rsidRPr="00F40A68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23C9AF74" w14:textId="77777777" w:rsidR="00A365CE" w:rsidRPr="0083477E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b/>
        </w:rPr>
      </w:pPr>
    </w:p>
    <w:p w14:paraId="0B5CB834" w14:textId="77777777" w:rsidR="00A365CE" w:rsidRPr="0083477E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MS Mincho" w:hAnsiTheme="minorHAnsi" w:cs="MS Mincho"/>
        </w:rPr>
      </w:pPr>
      <w:r w:rsidRPr="00F40A68">
        <w:rPr>
          <w:rFonts w:ascii="Calibri" w:hAnsi="Calibri" w:cs="Calibri"/>
          <w:b/>
          <w:bCs/>
          <w:color w:val="385623" w:themeColor="accent6" w:themeShade="80"/>
        </w:rPr>
        <w:t>Additional Information</w:t>
      </w:r>
      <w:r w:rsidRPr="0083477E">
        <w:rPr>
          <w:rFonts w:ascii="MS Mincho" w:eastAsia="MS Mincho" w:hAnsi="MS Mincho" w:cs="MS Mincho"/>
        </w:rPr>
        <w:t> </w:t>
      </w:r>
    </w:p>
    <w:p w14:paraId="063CA277" w14:textId="77777777" w:rsidR="0038768E" w:rsidRPr="00611729" w:rsidRDefault="0038768E" w:rsidP="0038768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11729">
        <w:rPr>
          <w:rFonts w:asciiTheme="majorHAnsi" w:hAnsiTheme="majorHAnsi" w:cstheme="majorHAnsi"/>
          <w:color w:val="000000" w:themeColor="text1"/>
          <w:sz w:val="21"/>
          <w:szCs w:val="21"/>
        </w:rPr>
        <w:t>Arizona Funeral Resources &amp; Education www.AZfuneral.org</w:t>
      </w:r>
    </w:p>
    <w:p w14:paraId="5F315F56" w14:textId="77777777" w:rsidR="0038768E" w:rsidRDefault="0038768E" w:rsidP="0038768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National End-of-Life Doula Alliance www.nedalliance.org</w:t>
      </w:r>
    </w:p>
    <w:p w14:paraId="04233F9F" w14:textId="77777777" w:rsidR="0038768E" w:rsidRPr="00E60989" w:rsidRDefault="0038768E" w:rsidP="0038768E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MS Mincho" w:hAnsiTheme="majorHAnsi" w:cstheme="majorHAnsi"/>
          <w:color w:val="000000" w:themeColor="text1"/>
          <w:sz w:val="21"/>
          <w:szCs w:val="21"/>
        </w:rPr>
      </w:pPr>
      <w:r w:rsidRPr="00E6098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National Home Funeral Alliance </w:t>
      </w:r>
      <w:r w:rsidRPr="00F106D2">
        <w:rPr>
          <w:rFonts w:asciiTheme="majorHAnsi" w:hAnsiTheme="majorHAnsi" w:cstheme="majorHAnsi"/>
          <w:color w:val="000000" w:themeColor="text1"/>
          <w:sz w:val="21"/>
          <w:szCs w:val="21"/>
        </w:rPr>
        <w:t>www.homefuneralalliance.org</w:t>
      </w:r>
      <w:r w:rsidRPr="00E60989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574C6E22" w14:textId="77777777" w:rsidR="0038768E" w:rsidRPr="00E60989" w:rsidRDefault="0038768E" w:rsidP="0038768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6098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Funeral Consumers Alliance </w:t>
      </w:r>
      <w:r w:rsidRPr="00F106D2">
        <w:rPr>
          <w:rFonts w:asciiTheme="majorHAnsi" w:hAnsiTheme="majorHAnsi" w:cstheme="majorHAnsi"/>
          <w:color w:val="000000" w:themeColor="text1"/>
          <w:sz w:val="21"/>
          <w:szCs w:val="21"/>
        </w:rPr>
        <w:t>www.funerals.org</w:t>
      </w:r>
    </w:p>
    <w:p w14:paraId="44436650" w14:textId="77777777" w:rsidR="00792DAF" w:rsidRPr="0083477E" w:rsidRDefault="00792DAF" w:rsidP="00A365CE">
      <w:pPr>
        <w:spacing w:line="276" w:lineRule="auto"/>
        <w:rPr>
          <w:rFonts w:asciiTheme="minorHAnsi" w:hAnsiTheme="minorHAnsi"/>
        </w:rPr>
      </w:pPr>
    </w:p>
    <w:sectPr w:rsidR="00792DAF" w:rsidRPr="0083477E" w:rsidSect="00F40A68">
      <w:footerReference w:type="default" r:id="rId7"/>
      <w:pgSz w:w="12240" w:h="15840"/>
      <w:pgMar w:top="89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4D21" w14:textId="77777777" w:rsidR="00E8342B" w:rsidRDefault="00E8342B" w:rsidP="008C7B5C">
      <w:r>
        <w:separator/>
      </w:r>
    </w:p>
  </w:endnote>
  <w:endnote w:type="continuationSeparator" w:id="0">
    <w:p w14:paraId="72CC507D" w14:textId="77777777" w:rsidR="00E8342B" w:rsidRDefault="00E8342B" w:rsidP="008C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797A" w14:textId="05398564" w:rsidR="008C7B5C" w:rsidRPr="0038768E" w:rsidRDefault="0038768E" w:rsidP="0038768E">
    <w:pPr>
      <w:pStyle w:val="Footer"/>
      <w:jc w:val="center"/>
      <w:rPr>
        <w:rFonts w:cstheme="minorHAnsi"/>
        <w:i/>
        <w:iCs/>
        <w:sz w:val="15"/>
        <w:szCs w:val="15"/>
      </w:rPr>
    </w:pPr>
    <w:r w:rsidRPr="00611729">
      <w:rPr>
        <w:rFonts w:cstheme="minorHAnsi"/>
        <w:i/>
        <w:iCs/>
        <w:sz w:val="15"/>
        <w:szCs w:val="15"/>
      </w:rPr>
      <w:t>2023 Arizona Funeral Resources &amp; Education, azfuneral.org, azfuneralinfo@gmail.com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90CB" w14:textId="77777777" w:rsidR="00E8342B" w:rsidRDefault="00E8342B" w:rsidP="008C7B5C">
      <w:r>
        <w:separator/>
      </w:r>
    </w:p>
  </w:footnote>
  <w:footnote w:type="continuationSeparator" w:id="0">
    <w:p w14:paraId="306D1B26" w14:textId="77777777" w:rsidR="00E8342B" w:rsidRDefault="00E8342B" w:rsidP="008C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224A7D"/>
    <w:multiLevelType w:val="hybridMultilevel"/>
    <w:tmpl w:val="A29C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4057">
    <w:abstractNumId w:val="0"/>
  </w:num>
  <w:num w:numId="2" w16cid:durableId="1499224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E"/>
    <w:rsid w:val="000F6A02"/>
    <w:rsid w:val="000F6B52"/>
    <w:rsid w:val="002A4BDB"/>
    <w:rsid w:val="002E4E7F"/>
    <w:rsid w:val="002F7D68"/>
    <w:rsid w:val="0031559B"/>
    <w:rsid w:val="0038768E"/>
    <w:rsid w:val="004755B6"/>
    <w:rsid w:val="004E7224"/>
    <w:rsid w:val="005452FD"/>
    <w:rsid w:val="005567F1"/>
    <w:rsid w:val="005A38AA"/>
    <w:rsid w:val="00792DAF"/>
    <w:rsid w:val="0083477E"/>
    <w:rsid w:val="00837B24"/>
    <w:rsid w:val="008C7B5C"/>
    <w:rsid w:val="00916403"/>
    <w:rsid w:val="00A365CE"/>
    <w:rsid w:val="00AB0BC9"/>
    <w:rsid w:val="00AD1415"/>
    <w:rsid w:val="00B048B1"/>
    <w:rsid w:val="00BE51E6"/>
    <w:rsid w:val="00C46089"/>
    <w:rsid w:val="00C83989"/>
    <w:rsid w:val="00C8724F"/>
    <w:rsid w:val="00DB0841"/>
    <w:rsid w:val="00E542A0"/>
    <w:rsid w:val="00E66691"/>
    <w:rsid w:val="00E8342B"/>
    <w:rsid w:val="00F40A68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D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477E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E51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51E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3477E"/>
    <w:rPr>
      <w:b/>
      <w:bCs/>
    </w:rPr>
  </w:style>
  <w:style w:type="paragraph" w:styleId="ListParagraph">
    <w:name w:val="List Paragraph"/>
    <w:basedOn w:val="Normal"/>
    <w:uiPriority w:val="34"/>
    <w:qFormat/>
    <w:rsid w:val="008347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66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5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B5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C7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B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7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The county clerk is a nonpartisan elected official as provided in the Oregon Con</vt:lpstr>
      <vt:lpstr>    Secretary of State’s site: “Connect with County Clerks: County elections offices</vt:lpstr>
      <vt:lpstr>    In smaller counties (most of the state) there is a person called County Clerk wh</vt:lpstr>
      <vt:lpstr>    Just to show you the massive urban rural divide in the state: The most populous </vt:lpstr>
      <vt:lpstr>    In Multnomah County, the office called County Clerk is in the courthouse with no</vt:lpstr>
      <vt:lpstr>    The CENTER FOR HEALTH STATISTICS VITAL RECORDS administers COMMISSIONS FOR COUNT</vt:lpstr>
      <vt:lpstr>    The State Center for Health Stats office refers to these registrar functions col</vt:lpstr>
      <vt:lpstr>    </vt:lpstr>
      <vt:lpstr>    SO… I think for our purposes that we should use the generic term Vital Records S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Pruett</dc:creator>
  <cp:keywords/>
  <dc:description/>
  <cp:lastModifiedBy>Bill Crangle</cp:lastModifiedBy>
  <cp:revision>2</cp:revision>
  <cp:lastPrinted>2020-04-08T20:25:00Z</cp:lastPrinted>
  <dcterms:created xsi:type="dcterms:W3CDTF">2022-12-08T13:25:00Z</dcterms:created>
  <dcterms:modified xsi:type="dcterms:W3CDTF">2022-12-08T13:25:00Z</dcterms:modified>
</cp:coreProperties>
</file>